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C" w:rsidRPr="00712996" w:rsidRDefault="00621B5C" w:rsidP="00621B5C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bCs/>
          <w:color w:val="002060"/>
          <w:sz w:val="24"/>
          <w:szCs w:val="24"/>
        </w:rPr>
        <w:t>Semester – IV</w:t>
      </w:r>
    </w:p>
    <w:p w:rsidR="009A695D" w:rsidRDefault="00712996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</w:t>
      </w:r>
    </w:p>
    <w:p w:rsidR="00621B5C" w:rsidRPr="00712996" w:rsidRDefault="00621B5C" w:rsidP="00621B5C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CH-202: Physical and Inorganic Chemistry </w:t>
      </w:r>
    </w:p>
    <w:p w:rsidR="00832851" w:rsidRPr="00712996" w:rsidRDefault="00621B5C" w:rsidP="00FD1921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392430</wp:posOffset>
            </wp:positionV>
            <wp:extent cx="5524500" cy="2447925"/>
            <wp:effectExtent l="19050" t="0" r="0" b="0"/>
            <wp:wrapSquare wrapText="bothSides"/>
            <wp:docPr id="4" name="Picture 3" descr="CdS X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 XRD.BMP"/>
                    <pic:cNvPicPr/>
                  </pic:nvPicPr>
                  <pic:blipFill>
                    <a:blip r:embed="rId5"/>
                    <a:srcRect l="5236" t="6776" r="8145" b="451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851" w:rsidRPr="00712996">
        <w:rPr>
          <w:rFonts w:ascii="Times New Roman" w:hAnsi="Times New Roman"/>
          <w:color w:val="002060"/>
          <w:sz w:val="24"/>
          <w:szCs w:val="24"/>
        </w:rPr>
        <w:t xml:space="preserve">Section - I </w:t>
      </w:r>
      <w:r w:rsidR="00876E47" w:rsidRPr="00712996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>Physical</w:t>
      </w:r>
      <w:r w:rsidR="00832851" w:rsidRPr="00712996">
        <w:rPr>
          <w:rFonts w:ascii="Times New Roman" w:hAnsi="Times New Roman"/>
          <w:color w:val="002060"/>
          <w:sz w:val="24"/>
          <w:szCs w:val="24"/>
        </w:rPr>
        <w:t xml:space="preserve"> Chemistry)</w:t>
      </w:r>
    </w:p>
    <w:p w:rsidR="00621B5C" w:rsidRPr="00621B5C" w:rsidRDefault="00621B5C" w:rsidP="00770E42">
      <w:pPr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621B5C">
        <w:rPr>
          <w:rFonts w:ascii="Times New Roman" w:hAnsi="Times New Roman"/>
          <w:b/>
          <w:color w:val="0000FF"/>
          <w:sz w:val="24"/>
          <w:szCs w:val="24"/>
        </w:rPr>
        <w:t xml:space="preserve">XRD pattern of </w:t>
      </w:r>
      <w:proofErr w:type="spellStart"/>
      <w:r w:rsidRPr="00621B5C">
        <w:rPr>
          <w:rFonts w:ascii="Times New Roman" w:hAnsi="Times New Roman"/>
          <w:b/>
          <w:color w:val="0000FF"/>
          <w:sz w:val="24"/>
          <w:szCs w:val="24"/>
        </w:rPr>
        <w:t>nanocrystalline</w:t>
      </w:r>
      <w:proofErr w:type="spellEnd"/>
      <w:r w:rsidRPr="00621B5C">
        <w:rPr>
          <w:rFonts w:ascii="Times New Roman" w:hAnsi="Times New Roman"/>
          <w:b/>
          <w:color w:val="0000FF"/>
          <w:sz w:val="24"/>
          <w:szCs w:val="24"/>
        </w:rPr>
        <w:t xml:space="preserve"> CdS</w:t>
      </w:r>
    </w:p>
    <w:p w:rsidR="00832851" w:rsidRDefault="00712996" w:rsidP="00402C83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 SCHEDULE</w:t>
      </w:r>
    </w:p>
    <w:p w:rsidR="00621B5C" w:rsidRPr="00712996" w:rsidRDefault="00621B5C" w:rsidP="00402C83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DIVISION A</w:t>
      </w:r>
    </w:p>
    <w:p w:rsidR="0063216B" w:rsidRPr="00712996" w:rsidRDefault="00B51FF2" w:rsidP="00402C8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Alternate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1B5C">
        <w:rPr>
          <w:rFonts w:ascii="Times New Roman" w:hAnsi="Times New Roman"/>
          <w:color w:val="002060"/>
          <w:sz w:val="24"/>
          <w:szCs w:val="24"/>
        </w:rPr>
        <w:t>Monday</w:t>
      </w:r>
      <w:r w:rsidR="00832851"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(Time: </w:t>
      </w:r>
      <w:r>
        <w:rPr>
          <w:rFonts w:ascii="Times New Roman" w:hAnsi="Times New Roman"/>
          <w:color w:val="002060"/>
          <w:sz w:val="24"/>
          <w:szCs w:val="24"/>
        </w:rPr>
        <w:t>1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.30 to </w:t>
      </w:r>
      <w:r>
        <w:rPr>
          <w:rFonts w:ascii="Times New Roman" w:hAnsi="Times New Roman"/>
          <w:color w:val="002060"/>
          <w:sz w:val="24"/>
          <w:szCs w:val="24"/>
        </w:rPr>
        <w:t>2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>.30 pm)</w:t>
      </w:r>
    </w:p>
    <w:p w:rsidR="00832851" w:rsidRDefault="00B51FF2" w:rsidP="00402C8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>Every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1B5C">
        <w:rPr>
          <w:rFonts w:ascii="Times New Roman" w:hAnsi="Times New Roman"/>
          <w:color w:val="002060"/>
          <w:sz w:val="24"/>
          <w:szCs w:val="24"/>
        </w:rPr>
        <w:t>Saturday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 (Time: </w:t>
      </w:r>
      <w:r w:rsidR="00621B5C">
        <w:rPr>
          <w:rFonts w:ascii="Times New Roman" w:hAnsi="Times New Roman"/>
          <w:color w:val="002060"/>
          <w:sz w:val="24"/>
          <w:szCs w:val="24"/>
        </w:rPr>
        <w:t>1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.30 to </w:t>
      </w:r>
      <w:r w:rsidR="00621B5C">
        <w:rPr>
          <w:rFonts w:ascii="Times New Roman" w:hAnsi="Times New Roman"/>
          <w:color w:val="002060"/>
          <w:sz w:val="24"/>
          <w:szCs w:val="24"/>
        </w:rPr>
        <w:t>2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>.30 pm)</w:t>
      </w:r>
    </w:p>
    <w:p w:rsidR="00A60A65" w:rsidRPr="00712996" w:rsidRDefault="00A60A65" w:rsidP="00402C8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Class room: </w:t>
      </w:r>
      <w:r w:rsidR="00B51FF2">
        <w:rPr>
          <w:rFonts w:ascii="Times New Roman" w:hAnsi="Times New Roman"/>
          <w:color w:val="002060"/>
          <w:sz w:val="24"/>
          <w:szCs w:val="24"/>
        </w:rPr>
        <w:t>B</w:t>
      </w:r>
      <w:r>
        <w:rPr>
          <w:rFonts w:ascii="Times New Roman" w:hAnsi="Times New Roman"/>
          <w:color w:val="002060"/>
          <w:sz w:val="24"/>
          <w:szCs w:val="24"/>
        </w:rPr>
        <w:t>-</w:t>
      </w:r>
      <w:r w:rsidR="00621B5C">
        <w:rPr>
          <w:rFonts w:ascii="Times New Roman" w:hAnsi="Times New Roman"/>
          <w:color w:val="002060"/>
          <w:sz w:val="24"/>
          <w:szCs w:val="24"/>
        </w:rPr>
        <w:t>3</w:t>
      </w:r>
      <w:r>
        <w:rPr>
          <w:rFonts w:ascii="Times New Roman" w:hAnsi="Times New Roman"/>
          <w:color w:val="002060"/>
          <w:sz w:val="24"/>
          <w:szCs w:val="24"/>
        </w:rPr>
        <w:t>0</w:t>
      </w:r>
      <w:r w:rsidR="00B51FF2">
        <w:rPr>
          <w:rFonts w:ascii="Times New Roman" w:hAnsi="Times New Roman"/>
          <w:color w:val="002060"/>
          <w:sz w:val="24"/>
          <w:szCs w:val="24"/>
        </w:rPr>
        <w:t>4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21B5C" w:rsidRPr="00712996" w:rsidRDefault="00621B5C" w:rsidP="00402C83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DIVISION B</w:t>
      </w:r>
    </w:p>
    <w:p w:rsidR="00621B5C" w:rsidRPr="00712996" w:rsidRDefault="00621B5C" w:rsidP="00402C8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Every </w:t>
      </w:r>
      <w:r w:rsidR="00B51FF2">
        <w:rPr>
          <w:rFonts w:ascii="Times New Roman" w:hAnsi="Times New Roman"/>
          <w:color w:val="002060"/>
          <w:sz w:val="24"/>
          <w:szCs w:val="24"/>
        </w:rPr>
        <w:t>Wedne</w:t>
      </w:r>
      <w:r w:rsidR="00402C83">
        <w:rPr>
          <w:rFonts w:ascii="Times New Roman" w:hAnsi="Times New Roman"/>
          <w:color w:val="002060"/>
          <w:sz w:val="24"/>
          <w:szCs w:val="24"/>
        </w:rPr>
        <w:t>s</w:t>
      </w:r>
      <w:r>
        <w:rPr>
          <w:rFonts w:ascii="Times New Roman" w:hAnsi="Times New Roman"/>
          <w:color w:val="002060"/>
          <w:sz w:val="24"/>
          <w:szCs w:val="24"/>
        </w:rPr>
        <w:t>day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(Time: </w:t>
      </w:r>
      <w:r w:rsidR="00B51FF2">
        <w:rPr>
          <w:rFonts w:ascii="Times New Roman" w:hAnsi="Times New Roman"/>
          <w:color w:val="002060"/>
          <w:sz w:val="24"/>
          <w:szCs w:val="24"/>
        </w:rPr>
        <w:t>1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.30 to </w:t>
      </w:r>
      <w:r w:rsidR="00402C83">
        <w:rPr>
          <w:rFonts w:ascii="Times New Roman" w:hAnsi="Times New Roman"/>
          <w:color w:val="002060"/>
          <w:sz w:val="24"/>
          <w:szCs w:val="24"/>
        </w:rPr>
        <w:t>3</w:t>
      </w:r>
      <w:r w:rsidRPr="00712996">
        <w:rPr>
          <w:rFonts w:ascii="Times New Roman" w:hAnsi="Times New Roman"/>
          <w:color w:val="002060"/>
          <w:sz w:val="24"/>
          <w:szCs w:val="24"/>
        </w:rPr>
        <w:t>.30 pm)</w:t>
      </w:r>
    </w:p>
    <w:p w:rsidR="00621B5C" w:rsidRDefault="00621B5C" w:rsidP="00402C8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Alternate </w:t>
      </w:r>
      <w:r w:rsidR="00B51FF2">
        <w:rPr>
          <w:rFonts w:ascii="Times New Roman" w:hAnsi="Times New Roman"/>
          <w:color w:val="002060"/>
          <w:sz w:val="24"/>
          <w:szCs w:val="24"/>
        </w:rPr>
        <w:t>Mon</w:t>
      </w:r>
      <w:r>
        <w:rPr>
          <w:rFonts w:ascii="Times New Roman" w:hAnsi="Times New Roman"/>
          <w:color w:val="002060"/>
          <w:sz w:val="24"/>
          <w:szCs w:val="24"/>
        </w:rPr>
        <w:t>day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(Time: </w:t>
      </w:r>
      <w:r>
        <w:rPr>
          <w:rFonts w:ascii="Times New Roman" w:hAnsi="Times New Roman"/>
          <w:color w:val="002060"/>
          <w:sz w:val="24"/>
          <w:szCs w:val="24"/>
        </w:rPr>
        <w:t>1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.30 to </w:t>
      </w:r>
      <w:r>
        <w:rPr>
          <w:rFonts w:ascii="Times New Roman" w:hAnsi="Times New Roman"/>
          <w:color w:val="002060"/>
          <w:sz w:val="24"/>
          <w:szCs w:val="24"/>
        </w:rPr>
        <w:t>2</w:t>
      </w:r>
      <w:r w:rsidRPr="00712996">
        <w:rPr>
          <w:rFonts w:ascii="Times New Roman" w:hAnsi="Times New Roman"/>
          <w:color w:val="002060"/>
          <w:sz w:val="24"/>
          <w:szCs w:val="24"/>
        </w:rPr>
        <w:t>.30 pm)</w:t>
      </w:r>
    </w:p>
    <w:p w:rsidR="00621B5C" w:rsidRPr="00712996" w:rsidRDefault="00621B5C" w:rsidP="00402C8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Class room: </w:t>
      </w:r>
      <w:r w:rsidR="00B51FF2">
        <w:rPr>
          <w:rFonts w:ascii="Times New Roman" w:hAnsi="Times New Roman"/>
          <w:color w:val="002060"/>
          <w:sz w:val="24"/>
          <w:szCs w:val="24"/>
        </w:rPr>
        <w:t>B</w:t>
      </w:r>
      <w:r>
        <w:rPr>
          <w:rFonts w:ascii="Times New Roman" w:hAnsi="Times New Roman"/>
          <w:color w:val="002060"/>
          <w:sz w:val="24"/>
          <w:szCs w:val="24"/>
        </w:rPr>
        <w:t>-</w:t>
      </w:r>
      <w:r w:rsidR="00402C83">
        <w:rPr>
          <w:rFonts w:ascii="Times New Roman" w:hAnsi="Times New Roman"/>
          <w:color w:val="002060"/>
          <w:sz w:val="24"/>
          <w:szCs w:val="24"/>
        </w:rPr>
        <w:t>30</w:t>
      </w:r>
      <w:r w:rsidR="00B51FF2">
        <w:rPr>
          <w:rFonts w:ascii="Times New Roman" w:hAnsi="Times New Roman"/>
          <w:color w:val="002060"/>
          <w:sz w:val="24"/>
          <w:szCs w:val="24"/>
        </w:rPr>
        <w:t>5</w:t>
      </w:r>
    </w:p>
    <w:p w:rsidR="00823E2C" w:rsidRPr="00712996" w:rsidRDefault="00712996" w:rsidP="00402C83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 MARKS</w:t>
      </w:r>
    </w:p>
    <w:p w:rsidR="00823E2C" w:rsidRPr="00712996" w:rsidRDefault="00823E2C" w:rsidP="00402C83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ISA I </w:t>
      </w:r>
      <w:r w:rsidR="00B51FF2">
        <w:rPr>
          <w:rFonts w:ascii="Times New Roman" w:hAnsi="Times New Roman"/>
          <w:color w:val="002060"/>
          <w:sz w:val="24"/>
          <w:szCs w:val="24"/>
        </w:rPr>
        <w:t xml:space="preserve">(ASSIGNMENT) 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="00621B5C">
        <w:rPr>
          <w:rFonts w:ascii="Times New Roman" w:hAnsi="Times New Roman"/>
          <w:color w:val="002060"/>
          <w:sz w:val="24"/>
          <w:szCs w:val="24"/>
        </w:rPr>
        <w:t>10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marks + ISA II</w:t>
      </w:r>
      <w:r w:rsidR="00B51FF2">
        <w:rPr>
          <w:rFonts w:ascii="Times New Roman" w:hAnsi="Times New Roman"/>
          <w:color w:val="002060"/>
          <w:sz w:val="24"/>
          <w:szCs w:val="24"/>
        </w:rPr>
        <w:t xml:space="preserve"> (WRITTEN TEST)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621B5C">
        <w:rPr>
          <w:rFonts w:ascii="Times New Roman" w:hAnsi="Times New Roman"/>
          <w:color w:val="002060"/>
          <w:sz w:val="24"/>
          <w:szCs w:val="24"/>
        </w:rPr>
        <w:t>10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712996">
        <w:rPr>
          <w:rFonts w:ascii="Times New Roman" w:hAnsi="Times New Roman"/>
          <w:color w:val="002060"/>
          <w:sz w:val="24"/>
          <w:szCs w:val="24"/>
        </w:rPr>
        <w:t>marks</w:t>
      </w:r>
      <w:proofErr w:type="gramEnd"/>
      <w:r w:rsidRPr="00712996">
        <w:rPr>
          <w:rFonts w:ascii="Times New Roman" w:hAnsi="Times New Roman"/>
          <w:color w:val="002060"/>
          <w:sz w:val="24"/>
          <w:szCs w:val="24"/>
        </w:rPr>
        <w:t xml:space="preserve"> + SEE – </w:t>
      </w:r>
      <w:r w:rsidR="00621B5C">
        <w:rPr>
          <w:rFonts w:ascii="Times New Roman" w:hAnsi="Times New Roman"/>
          <w:color w:val="002060"/>
          <w:sz w:val="24"/>
          <w:szCs w:val="24"/>
        </w:rPr>
        <w:t>4</w:t>
      </w:r>
      <w:r w:rsidRPr="00712996">
        <w:rPr>
          <w:rFonts w:ascii="Times New Roman" w:hAnsi="Times New Roman"/>
          <w:color w:val="002060"/>
          <w:sz w:val="24"/>
          <w:szCs w:val="24"/>
        </w:rPr>
        <w:t>0 marks</w:t>
      </w:r>
    </w:p>
    <w:p w:rsidR="00402C83" w:rsidRDefault="00402C83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02C83" w:rsidRDefault="00402C83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3216B" w:rsidRPr="00B51FF2" w:rsidRDefault="00712996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24"/>
        </w:rPr>
      </w:pPr>
      <w:r w:rsidRPr="00B51FF2">
        <w:rPr>
          <w:rFonts w:ascii="Times New Roman" w:hAnsi="Times New Roman"/>
          <w:b/>
          <w:color w:val="002060"/>
          <w:sz w:val="36"/>
          <w:szCs w:val="24"/>
        </w:rPr>
        <w:lastRenderedPageBreak/>
        <w:t>SYLLABUS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3"/>
        </w:rPr>
      </w:pPr>
      <w:r w:rsidRPr="000973F1">
        <w:rPr>
          <w:rFonts w:ascii="Times New Roman" w:hAnsi="Times New Roman"/>
          <w:b/>
          <w:bCs/>
          <w:sz w:val="32"/>
          <w:szCs w:val="23"/>
        </w:rPr>
        <w:t>SEMESTER – IV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3"/>
        </w:rPr>
      </w:pPr>
      <w:r w:rsidRPr="000973F1">
        <w:rPr>
          <w:rFonts w:ascii="Times New Roman" w:hAnsi="Times New Roman"/>
          <w:b/>
          <w:bCs/>
          <w:sz w:val="32"/>
          <w:szCs w:val="23"/>
        </w:rPr>
        <w:t>CH – 202</w:t>
      </w:r>
      <w:proofErr w:type="gramStart"/>
      <w:r w:rsidRPr="000973F1">
        <w:rPr>
          <w:rFonts w:ascii="Times New Roman" w:hAnsi="Times New Roman"/>
          <w:b/>
          <w:bCs/>
          <w:sz w:val="32"/>
          <w:szCs w:val="23"/>
        </w:rPr>
        <w:t>:Physical</w:t>
      </w:r>
      <w:proofErr w:type="gramEnd"/>
      <w:r w:rsidRPr="000973F1">
        <w:rPr>
          <w:rFonts w:ascii="Times New Roman" w:hAnsi="Times New Roman"/>
          <w:b/>
          <w:bCs/>
          <w:sz w:val="32"/>
          <w:szCs w:val="23"/>
        </w:rPr>
        <w:t xml:space="preserve"> and Inorganic Chemistry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3"/>
        </w:rPr>
      </w:pPr>
      <w:r w:rsidRPr="000973F1">
        <w:rPr>
          <w:rFonts w:ascii="Times New Roman" w:hAnsi="Times New Roman"/>
          <w:b/>
          <w:bCs/>
          <w:sz w:val="32"/>
          <w:szCs w:val="23"/>
        </w:rPr>
        <w:t>Section - I (Physical Chemistry)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3"/>
        </w:rPr>
      </w:pPr>
      <w:r w:rsidRPr="000973F1">
        <w:rPr>
          <w:rFonts w:ascii="Times New Roman" w:hAnsi="Times New Roman"/>
          <w:b/>
          <w:bCs/>
          <w:sz w:val="32"/>
          <w:szCs w:val="23"/>
        </w:rPr>
        <w:t>I. Electrochemistry 12 L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3"/>
        </w:rPr>
      </w:pPr>
      <w:proofErr w:type="gramStart"/>
      <w:r w:rsidRPr="000973F1">
        <w:rPr>
          <w:rFonts w:ascii="Times New Roman" w:hAnsi="Times New Roman"/>
          <w:sz w:val="32"/>
          <w:szCs w:val="23"/>
        </w:rPr>
        <w:t>Electrical transport –conduction in metals and in electrolyte solutions, specific</w:t>
      </w:r>
      <w:r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conductance and equivalent conductance measurement of equivalent conductance,</w:t>
      </w:r>
      <w:r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variation of equivalent and specific conductance with dilution.</w:t>
      </w:r>
      <w:proofErr w:type="gramEnd"/>
      <w:r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Migration of ions and </w:t>
      </w:r>
      <w:proofErr w:type="spellStart"/>
      <w:r w:rsidRPr="000973F1">
        <w:rPr>
          <w:rFonts w:ascii="Times New Roman" w:hAnsi="Times New Roman"/>
          <w:sz w:val="32"/>
          <w:szCs w:val="23"/>
        </w:rPr>
        <w:t>Kohlrausch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law, Arrhenius theory of electrolyte dissociation and</w:t>
      </w:r>
      <w:r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its limitations, weak and strong </w:t>
      </w:r>
      <w:proofErr w:type="gramStart"/>
      <w:r w:rsidRPr="000973F1">
        <w:rPr>
          <w:rFonts w:ascii="Times New Roman" w:hAnsi="Times New Roman"/>
          <w:sz w:val="32"/>
          <w:szCs w:val="23"/>
        </w:rPr>
        <w:t>electrolytes ,</w:t>
      </w:r>
      <w:proofErr w:type="gramEnd"/>
      <w:r w:rsidRPr="000973F1">
        <w:rPr>
          <w:rFonts w:ascii="Times New Roman" w:hAnsi="Times New Roman"/>
          <w:sz w:val="32"/>
          <w:szCs w:val="23"/>
        </w:rPr>
        <w:t xml:space="preserve"> </w:t>
      </w:r>
      <w:proofErr w:type="spellStart"/>
      <w:r w:rsidRPr="000973F1">
        <w:rPr>
          <w:rFonts w:ascii="Times New Roman" w:hAnsi="Times New Roman"/>
          <w:sz w:val="32"/>
          <w:szCs w:val="23"/>
        </w:rPr>
        <w:t>ostwald’s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dilution law its uses and</w:t>
      </w:r>
      <w:r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limitations</w:t>
      </w:r>
      <w:r>
        <w:rPr>
          <w:rFonts w:ascii="Times New Roman" w:hAnsi="Times New Roman"/>
          <w:sz w:val="32"/>
          <w:szCs w:val="23"/>
        </w:rPr>
        <w:t>.</w:t>
      </w:r>
      <w:r w:rsidRPr="000973F1">
        <w:rPr>
          <w:rFonts w:ascii="Times New Roman" w:hAnsi="Times New Roman"/>
          <w:sz w:val="32"/>
          <w:szCs w:val="23"/>
        </w:rPr>
        <w:t xml:space="preserve"> </w:t>
      </w:r>
      <w:r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 </w:t>
      </w:r>
      <w:proofErr w:type="gramStart"/>
      <w:r w:rsidRPr="000973F1">
        <w:rPr>
          <w:rFonts w:ascii="Times New Roman" w:hAnsi="Times New Roman"/>
          <w:sz w:val="32"/>
          <w:szCs w:val="23"/>
        </w:rPr>
        <w:t>Debye –</w:t>
      </w:r>
      <w:proofErr w:type="spellStart"/>
      <w:r w:rsidRPr="000973F1">
        <w:rPr>
          <w:rFonts w:ascii="Times New Roman" w:hAnsi="Times New Roman"/>
          <w:sz w:val="32"/>
          <w:szCs w:val="23"/>
        </w:rPr>
        <w:t>Huckel</w:t>
      </w:r>
      <w:proofErr w:type="spellEnd"/>
      <w:r w:rsidRPr="000973F1">
        <w:rPr>
          <w:rFonts w:ascii="Times New Roman" w:hAnsi="Times New Roman"/>
          <w:sz w:val="32"/>
          <w:szCs w:val="23"/>
        </w:rPr>
        <w:t>-Onsager’s equation for strong electrolytes (elementary</w:t>
      </w:r>
      <w:r w:rsidR="003317DE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treatment only).</w:t>
      </w:r>
      <w:proofErr w:type="gramEnd"/>
      <w:r w:rsidRPr="000973F1">
        <w:rPr>
          <w:rFonts w:ascii="Times New Roman" w:hAnsi="Times New Roman"/>
          <w:sz w:val="32"/>
          <w:szCs w:val="23"/>
        </w:rPr>
        <w:t xml:space="preserve"> Transport number, </w:t>
      </w:r>
      <w:r w:rsidR="003317DE">
        <w:rPr>
          <w:rFonts w:ascii="Times New Roman" w:hAnsi="Times New Roman"/>
          <w:sz w:val="32"/>
          <w:szCs w:val="23"/>
        </w:rPr>
        <w:t xml:space="preserve">definition and determination by </w:t>
      </w:r>
      <w:proofErr w:type="spellStart"/>
      <w:r w:rsidRPr="000973F1">
        <w:rPr>
          <w:rFonts w:ascii="Times New Roman" w:hAnsi="Times New Roman"/>
          <w:sz w:val="32"/>
          <w:szCs w:val="23"/>
        </w:rPr>
        <w:t>Hittorf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method </w:t>
      </w:r>
      <w:proofErr w:type="spellStart"/>
      <w:r w:rsidRPr="000973F1">
        <w:rPr>
          <w:rFonts w:ascii="Times New Roman" w:hAnsi="Times New Roman"/>
          <w:sz w:val="32"/>
          <w:szCs w:val="23"/>
        </w:rPr>
        <w:t>andmoving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boundary method.</w:t>
      </w:r>
      <w:r w:rsidR="003317DE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Applications of conductivity measurements:</w:t>
      </w:r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determination of degree of dissociation,</w:t>
      </w:r>
      <w:r w:rsidR="003317DE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determination of ka of </w:t>
      </w:r>
      <w:proofErr w:type="gramStart"/>
      <w:r w:rsidRPr="000973F1">
        <w:rPr>
          <w:rFonts w:ascii="Times New Roman" w:hAnsi="Times New Roman"/>
          <w:sz w:val="32"/>
          <w:szCs w:val="23"/>
        </w:rPr>
        <w:t>acids ,</w:t>
      </w:r>
      <w:proofErr w:type="gramEnd"/>
      <w:r w:rsidRPr="000973F1">
        <w:rPr>
          <w:rFonts w:ascii="Times New Roman" w:hAnsi="Times New Roman"/>
          <w:sz w:val="32"/>
          <w:szCs w:val="23"/>
        </w:rPr>
        <w:t xml:space="preserve"> determina</w:t>
      </w:r>
      <w:r w:rsidR="003317DE">
        <w:rPr>
          <w:rFonts w:ascii="Times New Roman" w:hAnsi="Times New Roman"/>
          <w:sz w:val="32"/>
          <w:szCs w:val="23"/>
        </w:rPr>
        <w:t xml:space="preserve">tion of solubility product of a </w:t>
      </w:r>
      <w:r w:rsidRPr="000973F1">
        <w:rPr>
          <w:rFonts w:ascii="Times New Roman" w:hAnsi="Times New Roman"/>
          <w:sz w:val="32"/>
          <w:szCs w:val="23"/>
        </w:rPr>
        <w:t>sparingly soluble</w:t>
      </w:r>
      <w:r w:rsidR="003317DE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salt, </w:t>
      </w:r>
      <w:proofErr w:type="spellStart"/>
      <w:r w:rsidRPr="000973F1">
        <w:rPr>
          <w:rFonts w:ascii="Times New Roman" w:hAnsi="Times New Roman"/>
          <w:sz w:val="32"/>
          <w:szCs w:val="23"/>
        </w:rPr>
        <w:t>conductometric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titrations .</w:t>
      </w:r>
    </w:p>
    <w:p w:rsidR="00C95730" w:rsidRDefault="00C95730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3"/>
        </w:rPr>
      </w:pP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3"/>
        </w:rPr>
      </w:pPr>
      <w:r w:rsidRPr="000973F1">
        <w:rPr>
          <w:rFonts w:ascii="Times New Roman" w:hAnsi="Times New Roman"/>
          <w:b/>
          <w:bCs/>
          <w:sz w:val="32"/>
          <w:szCs w:val="23"/>
        </w:rPr>
        <w:t>II. Solid State 11 L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3"/>
        </w:rPr>
      </w:pPr>
      <w:proofErr w:type="spellStart"/>
      <w:proofErr w:type="gramStart"/>
      <w:r w:rsidRPr="000973F1">
        <w:rPr>
          <w:rFonts w:ascii="Times New Roman" w:hAnsi="Times New Roman"/>
          <w:sz w:val="32"/>
          <w:szCs w:val="23"/>
        </w:rPr>
        <w:t>Defination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of space lattice, unit cell.</w:t>
      </w:r>
      <w:proofErr w:type="gramEnd"/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Laws of crystallography </w:t>
      </w:r>
      <w:proofErr w:type="gramStart"/>
      <w:r w:rsidRPr="000973F1">
        <w:rPr>
          <w:rFonts w:ascii="Times New Roman" w:hAnsi="Times New Roman"/>
          <w:sz w:val="32"/>
          <w:szCs w:val="23"/>
        </w:rPr>
        <w:t>–(</w:t>
      </w:r>
      <w:proofErr w:type="spellStart"/>
      <w:proofErr w:type="gramEnd"/>
      <w:r w:rsidRPr="000973F1">
        <w:rPr>
          <w:rFonts w:ascii="Times New Roman" w:hAnsi="Times New Roman"/>
          <w:sz w:val="32"/>
          <w:szCs w:val="23"/>
        </w:rPr>
        <w:t>i</w:t>
      </w:r>
      <w:proofErr w:type="spellEnd"/>
      <w:r w:rsidRPr="000973F1">
        <w:rPr>
          <w:rFonts w:ascii="Times New Roman" w:hAnsi="Times New Roman"/>
          <w:sz w:val="32"/>
          <w:szCs w:val="23"/>
        </w:rPr>
        <w:t>) law of constancy of interfacial angels</w:t>
      </w:r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(ii) law of rationality of indices (iii) law of symmetry elements in crystals.</w:t>
      </w:r>
      <w:r w:rsidR="00C95730">
        <w:rPr>
          <w:rFonts w:ascii="Times New Roman" w:hAnsi="Times New Roman"/>
          <w:sz w:val="32"/>
          <w:szCs w:val="23"/>
        </w:rPr>
        <w:t xml:space="preserve"> </w:t>
      </w:r>
      <w:proofErr w:type="gramStart"/>
      <w:r w:rsidR="00C95730">
        <w:rPr>
          <w:rFonts w:ascii="Times New Roman" w:hAnsi="Times New Roman"/>
          <w:sz w:val="32"/>
          <w:szCs w:val="23"/>
        </w:rPr>
        <w:t>X-ray diffraction by crystals</w:t>
      </w:r>
      <w:r w:rsidRPr="000973F1">
        <w:rPr>
          <w:rFonts w:ascii="Times New Roman" w:hAnsi="Times New Roman"/>
          <w:sz w:val="32"/>
          <w:szCs w:val="23"/>
        </w:rPr>
        <w:t>.</w:t>
      </w:r>
      <w:proofErr w:type="gramEnd"/>
      <w:r w:rsidR="00C95730">
        <w:rPr>
          <w:rFonts w:ascii="Times New Roman" w:hAnsi="Times New Roman"/>
          <w:sz w:val="32"/>
          <w:szCs w:val="23"/>
        </w:rPr>
        <w:t xml:space="preserve"> </w:t>
      </w:r>
      <w:proofErr w:type="gramStart"/>
      <w:r w:rsidR="00C95730">
        <w:rPr>
          <w:rFonts w:ascii="Times New Roman" w:hAnsi="Times New Roman"/>
          <w:sz w:val="32"/>
          <w:szCs w:val="23"/>
        </w:rPr>
        <w:t>D</w:t>
      </w:r>
      <w:r w:rsidRPr="000973F1">
        <w:rPr>
          <w:rFonts w:ascii="Times New Roman" w:hAnsi="Times New Roman"/>
          <w:sz w:val="32"/>
          <w:szCs w:val="23"/>
        </w:rPr>
        <w:t>erivation of Bragg equation.</w:t>
      </w:r>
      <w:proofErr w:type="gramEnd"/>
      <w:r w:rsidRPr="000973F1">
        <w:rPr>
          <w:rFonts w:ascii="Times New Roman" w:hAnsi="Times New Roman"/>
          <w:sz w:val="32"/>
          <w:szCs w:val="23"/>
        </w:rPr>
        <w:t xml:space="preserve"> </w:t>
      </w:r>
      <w:proofErr w:type="gramStart"/>
      <w:r w:rsidRPr="000973F1">
        <w:rPr>
          <w:rFonts w:ascii="Times New Roman" w:hAnsi="Times New Roman"/>
          <w:sz w:val="32"/>
          <w:szCs w:val="23"/>
        </w:rPr>
        <w:t>Determination of crystal</w:t>
      </w:r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structure of NaCl, </w:t>
      </w:r>
      <w:proofErr w:type="spellStart"/>
      <w:r w:rsidRPr="000973F1">
        <w:rPr>
          <w:rFonts w:ascii="Times New Roman" w:hAnsi="Times New Roman"/>
          <w:sz w:val="32"/>
          <w:szCs w:val="23"/>
        </w:rPr>
        <w:t>KCl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and </w:t>
      </w:r>
      <w:proofErr w:type="spellStart"/>
      <w:r w:rsidRPr="000973F1">
        <w:rPr>
          <w:rFonts w:ascii="Times New Roman" w:hAnsi="Times New Roman"/>
          <w:sz w:val="32"/>
          <w:szCs w:val="23"/>
        </w:rPr>
        <w:t>CsCl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(Laue’s method and powder method).</w:t>
      </w:r>
      <w:proofErr w:type="gramEnd"/>
    </w:p>
    <w:p w:rsidR="00C95730" w:rsidRDefault="00C95730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3"/>
        </w:rPr>
      </w:pP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3"/>
        </w:rPr>
      </w:pPr>
      <w:r w:rsidRPr="000973F1">
        <w:rPr>
          <w:rFonts w:ascii="Times New Roman" w:hAnsi="Times New Roman"/>
          <w:b/>
          <w:bCs/>
          <w:sz w:val="32"/>
          <w:szCs w:val="23"/>
        </w:rPr>
        <w:t>III. Colloidal State 07 L</w:t>
      </w: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3"/>
        </w:rPr>
      </w:pPr>
      <w:proofErr w:type="gramStart"/>
      <w:r w:rsidRPr="000973F1">
        <w:rPr>
          <w:rFonts w:ascii="Times New Roman" w:hAnsi="Times New Roman"/>
          <w:sz w:val="32"/>
          <w:szCs w:val="23"/>
        </w:rPr>
        <w:t>Definition of colloids, classification of colloids</w:t>
      </w:r>
      <w:r w:rsidR="00C95730">
        <w:rPr>
          <w:rFonts w:ascii="Times New Roman" w:hAnsi="Times New Roman"/>
          <w:sz w:val="32"/>
          <w:szCs w:val="23"/>
        </w:rPr>
        <w:t>.</w:t>
      </w:r>
      <w:proofErr w:type="gramEnd"/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Solids in liquids (sols): properties –kinetic, optical and electrical; stability of colloids,</w:t>
      </w:r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 xml:space="preserve">protective action, Hardy- </w:t>
      </w:r>
      <w:proofErr w:type="spellStart"/>
      <w:r w:rsidRPr="000973F1">
        <w:rPr>
          <w:rFonts w:ascii="Times New Roman" w:hAnsi="Times New Roman"/>
          <w:sz w:val="32"/>
          <w:szCs w:val="23"/>
        </w:rPr>
        <w:t>schulze</w:t>
      </w:r>
      <w:proofErr w:type="spellEnd"/>
      <w:r w:rsidRPr="000973F1">
        <w:rPr>
          <w:rFonts w:ascii="Times New Roman" w:hAnsi="Times New Roman"/>
          <w:sz w:val="32"/>
          <w:szCs w:val="23"/>
        </w:rPr>
        <w:t xml:space="preserve"> law gold number.</w:t>
      </w:r>
      <w:r w:rsidR="00C95730">
        <w:rPr>
          <w:rFonts w:ascii="Times New Roman" w:hAnsi="Times New Roman"/>
          <w:sz w:val="32"/>
          <w:szCs w:val="23"/>
        </w:rPr>
        <w:t xml:space="preserve"> Liquids in liquids (emulsions): </w:t>
      </w:r>
      <w:r w:rsidRPr="000973F1">
        <w:rPr>
          <w:rFonts w:ascii="Times New Roman" w:hAnsi="Times New Roman"/>
          <w:sz w:val="32"/>
          <w:szCs w:val="23"/>
        </w:rPr>
        <w:t>types of emulsions, preparation .Emulsifier</w:t>
      </w:r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Liquids in solids (gels): classification, preparation and properties, inhibition, general</w:t>
      </w:r>
      <w:r w:rsidR="00C95730">
        <w:rPr>
          <w:rFonts w:ascii="Times New Roman" w:hAnsi="Times New Roman"/>
          <w:sz w:val="32"/>
          <w:szCs w:val="23"/>
        </w:rPr>
        <w:t xml:space="preserve"> </w:t>
      </w:r>
      <w:r w:rsidRPr="000973F1">
        <w:rPr>
          <w:rFonts w:ascii="Times New Roman" w:hAnsi="Times New Roman"/>
          <w:sz w:val="32"/>
          <w:szCs w:val="23"/>
        </w:rPr>
        <w:t>applications of colloids</w:t>
      </w:r>
    </w:p>
    <w:p w:rsidR="00C95730" w:rsidRDefault="00C95730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3"/>
        </w:rPr>
      </w:pPr>
    </w:p>
    <w:p w:rsidR="00402C83" w:rsidRDefault="00402C83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3"/>
        </w:rPr>
      </w:pP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3"/>
        </w:rPr>
      </w:pPr>
      <w:r w:rsidRPr="000973F1">
        <w:rPr>
          <w:rFonts w:ascii="Times New Roman" w:hAnsi="Times New Roman"/>
          <w:b/>
          <w:bCs/>
          <w:sz w:val="28"/>
          <w:szCs w:val="23"/>
        </w:rPr>
        <w:lastRenderedPageBreak/>
        <w:t>Text Books</w:t>
      </w:r>
    </w:p>
    <w:p w:rsidR="00621B5C" w:rsidRPr="000973F1" w:rsidRDefault="00C95730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1.</w:t>
      </w:r>
      <w:r w:rsidR="00621B5C" w:rsidRPr="000973F1">
        <w:rPr>
          <w:rFonts w:ascii="Times New Roman" w:hAnsi="Times New Roman"/>
          <w:sz w:val="28"/>
          <w:szCs w:val="23"/>
        </w:rPr>
        <w:t xml:space="preserve"> P.W. Atkins et al., Physical Chemistry, 7</w:t>
      </w:r>
      <w:r w:rsidR="00621B5C" w:rsidRPr="000973F1">
        <w:rPr>
          <w:rFonts w:ascii="Times New Roman" w:hAnsi="Times New Roman"/>
          <w:sz w:val="20"/>
          <w:szCs w:val="16"/>
        </w:rPr>
        <w:t xml:space="preserve">th </w:t>
      </w:r>
      <w:r w:rsidR="00621B5C" w:rsidRPr="000973F1">
        <w:rPr>
          <w:rFonts w:ascii="Times New Roman" w:hAnsi="Times New Roman"/>
          <w:sz w:val="28"/>
          <w:szCs w:val="23"/>
        </w:rPr>
        <w:t>edition</w:t>
      </w:r>
    </w:p>
    <w:p w:rsidR="00621B5C" w:rsidRPr="000973F1" w:rsidRDefault="00C95730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2</w:t>
      </w:r>
      <w:r w:rsidR="00621B5C" w:rsidRPr="000973F1">
        <w:rPr>
          <w:rFonts w:ascii="Times New Roman" w:hAnsi="Times New Roman"/>
          <w:sz w:val="28"/>
          <w:szCs w:val="23"/>
        </w:rPr>
        <w:t>. J.D. Lee, Concise Inorganic Chemistry, ELBS Publications, 4</w:t>
      </w:r>
      <w:r w:rsidR="00621B5C" w:rsidRPr="000973F1">
        <w:rPr>
          <w:rFonts w:ascii="Times New Roman" w:hAnsi="Times New Roman"/>
          <w:sz w:val="20"/>
          <w:szCs w:val="16"/>
        </w:rPr>
        <w:t xml:space="preserve">th </w:t>
      </w:r>
      <w:r w:rsidR="00621B5C" w:rsidRPr="000973F1">
        <w:rPr>
          <w:rFonts w:ascii="Times New Roman" w:hAnsi="Times New Roman"/>
          <w:sz w:val="28"/>
          <w:szCs w:val="23"/>
        </w:rPr>
        <w:t>Edition</w:t>
      </w:r>
    </w:p>
    <w:p w:rsidR="00C95730" w:rsidRDefault="00C95730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3"/>
        </w:rPr>
      </w:pPr>
    </w:p>
    <w:p w:rsidR="00621B5C" w:rsidRPr="000973F1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r w:rsidRPr="000973F1">
        <w:rPr>
          <w:rFonts w:ascii="Times New Roman" w:hAnsi="Times New Roman"/>
          <w:b/>
          <w:bCs/>
          <w:sz w:val="28"/>
          <w:szCs w:val="23"/>
        </w:rPr>
        <w:t>Reference Book</w:t>
      </w:r>
      <w:r w:rsidRPr="000973F1">
        <w:rPr>
          <w:rFonts w:ascii="Times New Roman" w:hAnsi="Times New Roman"/>
          <w:sz w:val="28"/>
          <w:szCs w:val="23"/>
        </w:rPr>
        <w:t>s</w:t>
      </w:r>
    </w:p>
    <w:p w:rsidR="00621B5C" w:rsidRPr="00C95730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r w:rsidRPr="00C95730">
        <w:rPr>
          <w:rFonts w:ascii="Times New Roman" w:hAnsi="Times New Roman"/>
          <w:sz w:val="28"/>
          <w:szCs w:val="23"/>
        </w:rPr>
        <w:t xml:space="preserve">1. </w:t>
      </w:r>
      <w:proofErr w:type="spellStart"/>
      <w:r w:rsidRPr="00C95730">
        <w:rPr>
          <w:rFonts w:ascii="Times New Roman" w:hAnsi="Times New Roman"/>
          <w:sz w:val="28"/>
          <w:szCs w:val="23"/>
        </w:rPr>
        <w:t>Puri</w:t>
      </w:r>
      <w:proofErr w:type="spellEnd"/>
      <w:r w:rsidRPr="00C95730">
        <w:rPr>
          <w:rFonts w:ascii="Times New Roman" w:hAnsi="Times New Roman"/>
          <w:sz w:val="28"/>
          <w:szCs w:val="23"/>
        </w:rPr>
        <w:t xml:space="preserve">, Sharma, </w:t>
      </w:r>
      <w:proofErr w:type="spellStart"/>
      <w:r w:rsidRPr="00C95730">
        <w:rPr>
          <w:rFonts w:ascii="Times New Roman" w:hAnsi="Times New Roman"/>
          <w:sz w:val="28"/>
          <w:szCs w:val="23"/>
        </w:rPr>
        <w:t>Pathania</w:t>
      </w:r>
      <w:proofErr w:type="gramStart"/>
      <w:r w:rsidRPr="00C95730">
        <w:rPr>
          <w:rFonts w:ascii="Times New Roman" w:hAnsi="Times New Roman"/>
          <w:sz w:val="28"/>
          <w:szCs w:val="23"/>
        </w:rPr>
        <w:t>,Principles</w:t>
      </w:r>
      <w:proofErr w:type="spellEnd"/>
      <w:proofErr w:type="gramEnd"/>
      <w:r w:rsidRPr="00C95730">
        <w:rPr>
          <w:rFonts w:ascii="Times New Roman" w:hAnsi="Times New Roman"/>
          <w:sz w:val="28"/>
          <w:szCs w:val="23"/>
        </w:rPr>
        <w:t xml:space="preserve"> of Physical Chemistry by</w:t>
      </w:r>
    </w:p>
    <w:p w:rsidR="00621B5C" w:rsidRPr="00C95730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proofErr w:type="spellStart"/>
      <w:r w:rsidRPr="00C95730">
        <w:rPr>
          <w:rFonts w:ascii="Times New Roman" w:hAnsi="Times New Roman"/>
          <w:sz w:val="28"/>
          <w:szCs w:val="23"/>
        </w:rPr>
        <w:t>Vishal</w:t>
      </w:r>
      <w:proofErr w:type="spellEnd"/>
      <w:r w:rsidRPr="00C95730">
        <w:rPr>
          <w:rFonts w:ascii="Times New Roman" w:hAnsi="Times New Roman"/>
          <w:sz w:val="28"/>
          <w:szCs w:val="23"/>
        </w:rPr>
        <w:t xml:space="preserve"> Publishing Company, Oxford University Press</w:t>
      </w:r>
    </w:p>
    <w:p w:rsidR="00621B5C" w:rsidRPr="00C95730" w:rsidRDefault="00621B5C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r w:rsidRPr="00C95730">
        <w:rPr>
          <w:rFonts w:ascii="Times New Roman" w:hAnsi="Times New Roman"/>
          <w:sz w:val="28"/>
          <w:szCs w:val="23"/>
        </w:rPr>
        <w:t xml:space="preserve">2. G. K. </w:t>
      </w:r>
      <w:proofErr w:type="spellStart"/>
      <w:r w:rsidRPr="00C95730">
        <w:rPr>
          <w:rFonts w:ascii="Times New Roman" w:hAnsi="Times New Roman"/>
          <w:sz w:val="28"/>
          <w:szCs w:val="23"/>
        </w:rPr>
        <w:t>Vemulapalli</w:t>
      </w:r>
      <w:proofErr w:type="spellEnd"/>
      <w:r w:rsidRPr="00C95730">
        <w:rPr>
          <w:rFonts w:ascii="Times New Roman" w:hAnsi="Times New Roman"/>
          <w:sz w:val="28"/>
          <w:szCs w:val="23"/>
        </w:rPr>
        <w:t>, Physical Chemistry, Prentice Hall India, 1993,</w:t>
      </w:r>
    </w:p>
    <w:p w:rsidR="00C95730" w:rsidRPr="00C95730" w:rsidRDefault="00621B5C" w:rsidP="00C9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r w:rsidRPr="00C95730">
        <w:rPr>
          <w:rFonts w:ascii="Times New Roman" w:hAnsi="Times New Roman"/>
          <w:sz w:val="28"/>
          <w:szCs w:val="23"/>
        </w:rPr>
        <w:t xml:space="preserve">3. Donald </w:t>
      </w:r>
      <w:proofErr w:type="spellStart"/>
      <w:r w:rsidRPr="00C95730">
        <w:rPr>
          <w:rFonts w:ascii="Times New Roman" w:hAnsi="Times New Roman"/>
          <w:sz w:val="28"/>
          <w:szCs w:val="23"/>
        </w:rPr>
        <w:t>McQuarrie</w:t>
      </w:r>
      <w:proofErr w:type="spellEnd"/>
      <w:r w:rsidRPr="00C95730">
        <w:rPr>
          <w:rFonts w:ascii="Times New Roman" w:hAnsi="Times New Roman"/>
          <w:sz w:val="28"/>
          <w:szCs w:val="23"/>
        </w:rPr>
        <w:t>, Physical Chemistry</w:t>
      </w:r>
    </w:p>
    <w:p w:rsidR="002A1135" w:rsidRPr="00C95730" w:rsidRDefault="00C95730" w:rsidP="00C9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3"/>
        </w:rPr>
      </w:pPr>
      <w:r w:rsidRPr="00C95730">
        <w:rPr>
          <w:rFonts w:ascii="Times New Roman" w:hAnsi="Times New Roman"/>
          <w:sz w:val="28"/>
          <w:szCs w:val="23"/>
        </w:rPr>
        <w:t>4.</w:t>
      </w:r>
      <w:r w:rsidRPr="00C95730">
        <w:rPr>
          <w:rFonts w:ascii="Times New Roman" w:eastAsia="+mn-ea" w:hAnsi="Times New Roman"/>
          <w:bCs/>
          <w:color w:val="000000"/>
          <w:kern w:val="24"/>
          <w:sz w:val="48"/>
          <w:szCs w:val="48"/>
        </w:rPr>
        <w:t xml:space="preserve"> </w:t>
      </w:r>
      <w:proofErr w:type="spellStart"/>
      <w:r w:rsidR="009D5CDB" w:rsidRPr="00C95730">
        <w:rPr>
          <w:rFonts w:ascii="Times New Roman" w:hAnsi="Times New Roman"/>
          <w:bCs/>
          <w:sz w:val="28"/>
          <w:szCs w:val="23"/>
        </w:rPr>
        <w:t>Bahl</w:t>
      </w:r>
      <w:proofErr w:type="spellEnd"/>
      <w:r w:rsidR="009D5CDB" w:rsidRPr="00C95730">
        <w:rPr>
          <w:rFonts w:ascii="Times New Roman" w:hAnsi="Times New Roman"/>
          <w:bCs/>
          <w:sz w:val="28"/>
          <w:szCs w:val="23"/>
        </w:rPr>
        <w:t xml:space="preserve"> A., </w:t>
      </w:r>
      <w:proofErr w:type="spellStart"/>
      <w:r w:rsidR="009D5CDB" w:rsidRPr="00C95730">
        <w:rPr>
          <w:rFonts w:ascii="Times New Roman" w:hAnsi="Times New Roman"/>
          <w:bCs/>
          <w:sz w:val="28"/>
          <w:szCs w:val="23"/>
        </w:rPr>
        <w:t>Bahl</w:t>
      </w:r>
      <w:proofErr w:type="spellEnd"/>
      <w:r w:rsidR="009D5CDB" w:rsidRPr="00C95730">
        <w:rPr>
          <w:rFonts w:ascii="Times New Roman" w:hAnsi="Times New Roman"/>
          <w:bCs/>
          <w:sz w:val="28"/>
          <w:szCs w:val="23"/>
        </w:rPr>
        <w:t xml:space="preserve"> B.S. and </w:t>
      </w:r>
      <w:proofErr w:type="spellStart"/>
      <w:r w:rsidR="009D5CDB" w:rsidRPr="00C95730">
        <w:rPr>
          <w:rFonts w:ascii="Times New Roman" w:hAnsi="Times New Roman"/>
          <w:bCs/>
          <w:sz w:val="28"/>
          <w:szCs w:val="23"/>
        </w:rPr>
        <w:t>Tuli</w:t>
      </w:r>
      <w:proofErr w:type="spellEnd"/>
      <w:r w:rsidR="009D5CDB" w:rsidRPr="00C95730">
        <w:rPr>
          <w:rFonts w:ascii="Times New Roman" w:hAnsi="Times New Roman"/>
          <w:bCs/>
          <w:sz w:val="28"/>
          <w:szCs w:val="23"/>
        </w:rPr>
        <w:t xml:space="preserve"> G.D., </w:t>
      </w:r>
      <w:r w:rsidR="009D5CDB" w:rsidRPr="00C95730">
        <w:rPr>
          <w:rFonts w:ascii="Times New Roman" w:hAnsi="Times New Roman"/>
          <w:bCs/>
          <w:i/>
          <w:iCs/>
          <w:sz w:val="28"/>
          <w:szCs w:val="23"/>
        </w:rPr>
        <w:t>Essentials of Physical Chemistry</w:t>
      </w:r>
      <w:r w:rsidR="009D5CDB" w:rsidRPr="00C95730">
        <w:rPr>
          <w:rFonts w:ascii="Times New Roman" w:hAnsi="Times New Roman"/>
          <w:bCs/>
          <w:sz w:val="28"/>
          <w:szCs w:val="23"/>
        </w:rPr>
        <w:t>,</w:t>
      </w:r>
      <w:r w:rsidR="009D5CDB" w:rsidRPr="00C95730">
        <w:rPr>
          <w:rFonts w:ascii="Times New Roman" w:hAnsi="Times New Roman"/>
          <w:bCs/>
          <w:i/>
          <w:iCs/>
          <w:sz w:val="28"/>
          <w:szCs w:val="23"/>
        </w:rPr>
        <w:t xml:space="preserve"> </w:t>
      </w:r>
      <w:r w:rsidR="009D5CDB" w:rsidRPr="00C95730">
        <w:rPr>
          <w:rFonts w:ascii="Times New Roman" w:hAnsi="Times New Roman"/>
          <w:bCs/>
          <w:sz w:val="28"/>
          <w:szCs w:val="23"/>
        </w:rPr>
        <w:t xml:space="preserve">S. </w:t>
      </w:r>
      <w:proofErr w:type="spellStart"/>
      <w:r w:rsidR="009D5CDB" w:rsidRPr="00C95730">
        <w:rPr>
          <w:rFonts w:ascii="Times New Roman" w:hAnsi="Times New Roman"/>
          <w:bCs/>
          <w:sz w:val="28"/>
          <w:szCs w:val="23"/>
        </w:rPr>
        <w:t>Chand</w:t>
      </w:r>
      <w:proofErr w:type="spellEnd"/>
      <w:r w:rsidR="009D5CDB" w:rsidRPr="00C95730">
        <w:rPr>
          <w:rFonts w:ascii="Times New Roman" w:hAnsi="Times New Roman"/>
          <w:bCs/>
          <w:sz w:val="28"/>
          <w:szCs w:val="23"/>
        </w:rPr>
        <w:t xml:space="preserve"> &amp; Company Ltd., New Delhi, 1</w:t>
      </w:r>
      <w:r w:rsidR="009D5CDB" w:rsidRPr="00C95730">
        <w:rPr>
          <w:rFonts w:ascii="Times New Roman" w:hAnsi="Times New Roman"/>
          <w:bCs/>
          <w:sz w:val="28"/>
          <w:szCs w:val="23"/>
          <w:vertAlign w:val="superscript"/>
        </w:rPr>
        <w:t>st</w:t>
      </w:r>
      <w:r w:rsidR="009D5CDB" w:rsidRPr="00C95730">
        <w:rPr>
          <w:rFonts w:ascii="Times New Roman" w:hAnsi="Times New Roman"/>
          <w:bCs/>
          <w:sz w:val="28"/>
          <w:szCs w:val="23"/>
        </w:rPr>
        <w:t xml:space="preserve"> Multicolor Revised Edition, 2009.</w:t>
      </w:r>
    </w:p>
    <w:p w:rsidR="002A1135" w:rsidRPr="00C95730" w:rsidRDefault="00C95730" w:rsidP="00C9573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  <w:r w:rsidRPr="00C95730">
        <w:rPr>
          <w:rFonts w:ascii="Times New Roman" w:hAnsi="Times New Roman"/>
          <w:bCs/>
          <w:sz w:val="28"/>
          <w:szCs w:val="23"/>
        </w:rPr>
        <w:t xml:space="preserve">5. </w:t>
      </w:r>
      <w:r w:rsidR="009D5CDB" w:rsidRPr="00C95730">
        <w:rPr>
          <w:rFonts w:ascii="Times New Roman" w:hAnsi="Times New Roman"/>
          <w:bCs/>
          <w:sz w:val="28"/>
          <w:szCs w:val="23"/>
        </w:rPr>
        <w:t>Raj G</w:t>
      </w:r>
      <w:proofErr w:type="gramStart"/>
      <w:r w:rsidR="009D5CDB" w:rsidRPr="00C95730">
        <w:rPr>
          <w:rFonts w:ascii="Times New Roman" w:hAnsi="Times New Roman"/>
          <w:bCs/>
          <w:sz w:val="28"/>
          <w:szCs w:val="23"/>
        </w:rPr>
        <w:t>.,</w:t>
      </w:r>
      <w:proofErr w:type="gramEnd"/>
      <w:r w:rsidR="009D5CDB" w:rsidRPr="00C95730">
        <w:rPr>
          <w:rFonts w:ascii="Times New Roman" w:hAnsi="Times New Roman"/>
          <w:bCs/>
          <w:sz w:val="28"/>
          <w:szCs w:val="23"/>
        </w:rPr>
        <w:t xml:space="preserve"> Advanced Physical Chemistry, </w:t>
      </w:r>
      <w:proofErr w:type="spellStart"/>
      <w:r w:rsidR="009D5CDB" w:rsidRPr="00C95730">
        <w:rPr>
          <w:rFonts w:ascii="Times New Roman" w:hAnsi="Times New Roman"/>
          <w:bCs/>
          <w:sz w:val="28"/>
          <w:szCs w:val="23"/>
        </w:rPr>
        <w:t>Goel</w:t>
      </w:r>
      <w:proofErr w:type="spellEnd"/>
      <w:r w:rsidR="009D5CDB" w:rsidRPr="00C95730">
        <w:rPr>
          <w:rFonts w:ascii="Times New Roman" w:hAnsi="Times New Roman"/>
          <w:bCs/>
          <w:sz w:val="28"/>
          <w:szCs w:val="23"/>
        </w:rPr>
        <w:t xml:space="preserve"> Publishing House, Meerut, 21</w:t>
      </w:r>
      <w:r w:rsidR="009D5CDB" w:rsidRPr="00C95730">
        <w:rPr>
          <w:rFonts w:ascii="Times New Roman" w:hAnsi="Times New Roman"/>
          <w:bCs/>
          <w:sz w:val="28"/>
          <w:szCs w:val="23"/>
          <w:vertAlign w:val="superscript"/>
        </w:rPr>
        <w:t>st</w:t>
      </w:r>
      <w:r w:rsidR="009D5CDB" w:rsidRPr="00C95730">
        <w:rPr>
          <w:rFonts w:ascii="Times New Roman" w:hAnsi="Times New Roman"/>
          <w:bCs/>
          <w:sz w:val="28"/>
          <w:szCs w:val="23"/>
        </w:rPr>
        <w:t xml:space="preserve"> Edition, 1996-97</w:t>
      </w:r>
      <w:r>
        <w:rPr>
          <w:rFonts w:ascii="Times New Roman" w:hAnsi="Times New Roman"/>
          <w:bCs/>
          <w:sz w:val="28"/>
          <w:szCs w:val="23"/>
        </w:rPr>
        <w:t>.</w:t>
      </w:r>
    </w:p>
    <w:p w:rsidR="00C95730" w:rsidRPr="000973F1" w:rsidRDefault="00C95730" w:rsidP="0062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3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02C83" w:rsidRDefault="00402C83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9B6ECA" w:rsidRPr="00294049" w:rsidRDefault="009B6ECA" w:rsidP="00B51FF2">
      <w:pPr>
        <w:tabs>
          <w:tab w:val="left" w:pos="574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294049">
        <w:rPr>
          <w:rFonts w:ascii="Times New Roman" w:hAnsi="Times New Roman"/>
          <w:b/>
          <w:color w:val="FF0000"/>
          <w:sz w:val="28"/>
        </w:rPr>
        <w:lastRenderedPageBreak/>
        <w:t xml:space="preserve">TENTATIVE SCHEDULE FOR SEMESTER </w:t>
      </w:r>
      <w:r>
        <w:rPr>
          <w:rFonts w:ascii="Times New Roman" w:hAnsi="Times New Roman"/>
          <w:b/>
          <w:color w:val="FF0000"/>
          <w:sz w:val="28"/>
        </w:rPr>
        <w:t>IV</w:t>
      </w:r>
    </w:p>
    <w:p w:rsidR="009B6ECA" w:rsidRDefault="009B6ECA" w:rsidP="00B51FF2">
      <w:pPr>
        <w:tabs>
          <w:tab w:val="left" w:pos="574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FF"/>
          <w:kern w:val="36"/>
          <w:sz w:val="28"/>
        </w:rPr>
      </w:pPr>
      <w:r w:rsidRPr="00294049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ACADEMIC YEAR 201</w:t>
      </w:r>
      <w:r w:rsidR="00B51FF2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5</w:t>
      </w:r>
      <w:r w:rsidRPr="00294049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-201</w:t>
      </w:r>
      <w:r w:rsidR="00B51FF2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6</w:t>
      </w:r>
    </w:p>
    <w:p w:rsidR="009B6ECA" w:rsidRDefault="009B6ECA" w:rsidP="00B51FF2">
      <w:pPr>
        <w:tabs>
          <w:tab w:val="left" w:pos="574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FF"/>
          <w:kern w:val="36"/>
          <w:sz w:val="28"/>
        </w:rPr>
      </w:pPr>
      <w:r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S. Y. B. Sc.</w:t>
      </w:r>
    </w:p>
    <w:p w:rsidR="009B6ECA" w:rsidRDefault="009B6ECA" w:rsidP="00B51FF2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hAnsi="Times New Roman"/>
          <w:b/>
          <w:color w:val="C00000"/>
        </w:rPr>
      </w:pPr>
      <w:r w:rsidRPr="00294049">
        <w:rPr>
          <w:rFonts w:ascii="Times New Roman" w:hAnsi="Times New Roman"/>
          <w:b/>
          <w:color w:val="C00000"/>
        </w:rPr>
        <w:t xml:space="preserve">(CH - </w:t>
      </w:r>
      <w:r>
        <w:rPr>
          <w:rFonts w:ascii="Times New Roman" w:hAnsi="Times New Roman"/>
          <w:b/>
          <w:color w:val="C00000"/>
        </w:rPr>
        <w:t>20</w:t>
      </w:r>
      <w:r w:rsidRPr="00294049">
        <w:rPr>
          <w:rFonts w:ascii="Times New Roman" w:hAnsi="Times New Roman"/>
          <w:b/>
          <w:color w:val="C00000"/>
        </w:rPr>
        <w:t xml:space="preserve">2: </w:t>
      </w:r>
      <w:r>
        <w:rPr>
          <w:rFonts w:ascii="Times New Roman" w:hAnsi="Times New Roman"/>
          <w:b/>
          <w:color w:val="C00000"/>
        </w:rPr>
        <w:t>PHYSICAL</w:t>
      </w:r>
      <w:r w:rsidRPr="00294049">
        <w:rPr>
          <w:rFonts w:ascii="Times New Roman" w:hAnsi="Times New Roman"/>
          <w:b/>
          <w:color w:val="C00000"/>
        </w:rPr>
        <w:t xml:space="preserve"> </w:t>
      </w:r>
      <w:r>
        <w:rPr>
          <w:rFonts w:ascii="Times New Roman" w:hAnsi="Times New Roman"/>
          <w:b/>
          <w:color w:val="C00000"/>
        </w:rPr>
        <w:t xml:space="preserve">AND INORGANIC </w:t>
      </w:r>
      <w:r w:rsidRPr="00294049">
        <w:rPr>
          <w:rFonts w:ascii="Times New Roman" w:hAnsi="Times New Roman"/>
          <w:b/>
          <w:color w:val="C00000"/>
        </w:rPr>
        <w:t>CHEMISTRY)</w:t>
      </w:r>
    </w:p>
    <w:p w:rsidR="009B6ECA" w:rsidRPr="00294049" w:rsidRDefault="009B6ECA" w:rsidP="00B51FF2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hAnsi="Times New Roman"/>
          <w:b/>
          <w:color w:val="C00000"/>
        </w:rPr>
      </w:pPr>
      <w:r w:rsidRPr="00294049">
        <w:rPr>
          <w:rFonts w:ascii="Times New Roman" w:hAnsi="Times New Roman"/>
          <w:b/>
          <w:color w:val="C00000"/>
        </w:rPr>
        <w:t>SECTION I</w:t>
      </w:r>
    </w:p>
    <w:tbl>
      <w:tblPr>
        <w:tblStyle w:val="TableGrid"/>
        <w:tblW w:w="8640" w:type="dxa"/>
        <w:tblInd w:w="468" w:type="dxa"/>
        <w:tblLayout w:type="fixed"/>
        <w:tblLook w:val="04A0"/>
      </w:tblPr>
      <w:tblGrid>
        <w:gridCol w:w="990"/>
        <w:gridCol w:w="5310"/>
        <w:gridCol w:w="1260"/>
        <w:gridCol w:w="1080"/>
      </w:tblGrid>
      <w:tr w:rsidR="00B51FF2" w:rsidRPr="004057BE" w:rsidTr="00B51FF2">
        <w:tc>
          <w:tcPr>
            <w:tcW w:w="990" w:type="dxa"/>
            <w:vAlign w:val="center"/>
          </w:tcPr>
          <w:p w:rsidR="00B51FF2" w:rsidRPr="00294049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LECTURE NUMBER</w:t>
            </w:r>
          </w:p>
        </w:tc>
        <w:tc>
          <w:tcPr>
            <w:tcW w:w="5310" w:type="dxa"/>
            <w:vAlign w:val="center"/>
          </w:tcPr>
          <w:p w:rsidR="00B51FF2" w:rsidRPr="00294049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1260" w:type="dxa"/>
            <w:vAlign w:val="center"/>
          </w:tcPr>
          <w:p w:rsidR="00B51FF2" w:rsidRPr="00294049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FB2806">
              <w:rPr>
                <w:rFonts w:ascii="Times New Roman" w:hAnsi="Times New Roman" w:cs="Times New Roman"/>
                <w:b/>
                <w:color w:val="0000FF"/>
                <w:sz w:val="14"/>
                <w:szCs w:val="16"/>
              </w:rPr>
              <w:t>REFERENCE</w:t>
            </w:r>
          </w:p>
        </w:tc>
        <w:tc>
          <w:tcPr>
            <w:tcW w:w="1080" w:type="dxa"/>
            <w:vAlign w:val="center"/>
          </w:tcPr>
          <w:p w:rsidR="00B51FF2" w:rsidRPr="00FB2806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B2806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PAGE NUMBER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Colloidal State</w:t>
            </w:r>
          </w:p>
          <w:p w:rsidR="00B51FF2" w:rsidRPr="003927D4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Definition of colloi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ds, classification of colloids 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807-809</w:t>
            </w:r>
          </w:p>
          <w:p w:rsidR="00B51FF2" w:rsidRPr="00FB2806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933-934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Solids in liquids (sols): properties –kinetic, optical and electrical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Cs w:val="20"/>
              </w:rPr>
              <w:t>815-823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S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tability of colloids,</w:t>
            </w:r>
          </w:p>
          <w:p w:rsidR="00B51FF2" w:rsidRPr="008D0D3A" w:rsidRDefault="00B51FF2" w:rsidP="00B5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protective action, Hardy- </w:t>
            </w:r>
            <w:proofErr w:type="spellStart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schulze</w:t>
            </w:r>
            <w:proofErr w:type="spellEnd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 law gold number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Cs w:val="20"/>
              </w:rPr>
              <w:t>824-825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Cs w:val="20"/>
              </w:rPr>
              <w:t>986-998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0" w:type="dxa"/>
          </w:tcPr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Liquids in liquids (emulsions): t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ypes of emulsions, preparation. 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Emulsifier</w:t>
            </w:r>
          </w:p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826-827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 w:val="16"/>
                <w:szCs w:val="20"/>
              </w:rPr>
              <w:t>1011-1015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Liquids in solids (gels): classification, preparation and properties, inhibition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, General 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applications of colloids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828-831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 w:val="16"/>
                <w:szCs w:val="20"/>
              </w:rPr>
              <w:t>1003-1011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Electrical transport –conduction in metals and in electrolyte solutions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860-864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 w:val="16"/>
                <w:szCs w:val="20"/>
              </w:rPr>
              <w:t>1107-1109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0" w:type="dxa"/>
          </w:tcPr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S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pecific</w:t>
            </w:r>
          </w:p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conductance and equivalent conductance measurement of equivalent conductance,</w:t>
            </w:r>
          </w:p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variation of equivalent and specific conductance with dilution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865-869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 w:val="16"/>
                <w:szCs w:val="20"/>
              </w:rPr>
              <w:t>1110-1115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Migration of ions and </w:t>
            </w:r>
            <w:proofErr w:type="spellStart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Kohlrausch</w:t>
            </w:r>
            <w:proofErr w:type="spellEnd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 law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884-898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1116-1120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0" w:type="dxa"/>
          </w:tcPr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Arrhenius theory of electrolyte dissociation and</w:t>
            </w:r>
          </w:p>
          <w:p w:rsidR="00B51FF2" w:rsidRPr="008D0D3A" w:rsidRDefault="00B51FF2" w:rsidP="00B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its limitations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883-884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1132-1135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W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eak and strong electrolytes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871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10" w:type="dxa"/>
          </w:tcPr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O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stwald’s dilution law its uses and</w:t>
            </w:r>
          </w:p>
          <w:p w:rsidR="00B51FF2" w:rsidRPr="008D0D3A" w:rsidRDefault="00B51FF2" w:rsidP="00B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limitations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909-911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1129-1132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Debye –</w:t>
            </w:r>
            <w:proofErr w:type="spellStart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Huckel</w:t>
            </w:r>
            <w:proofErr w:type="spellEnd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-Onsager’s equation for strong electrolytes 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911-914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1135-1145</w:t>
            </w:r>
          </w:p>
        </w:tc>
      </w:tr>
      <w:tr w:rsidR="00B51FF2" w:rsidRPr="004057BE" w:rsidTr="00B51FF2">
        <w:trPr>
          <w:trHeight w:val="2060"/>
        </w:trPr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0" w:type="dxa"/>
          </w:tcPr>
          <w:p w:rsidR="00B51FF2" w:rsidRPr="00622ADC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Transport number, definition and determination by </w:t>
            </w:r>
            <w:proofErr w:type="spellStart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Hittorf</w:t>
            </w:r>
            <w:proofErr w:type="spellEnd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 method and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 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moving boundary method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888-894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6037">
              <w:rPr>
                <w:rFonts w:ascii="Times New Roman" w:hAnsi="Times New Roman" w:cs="Times New Roman"/>
                <w:sz w:val="16"/>
                <w:szCs w:val="20"/>
              </w:rPr>
              <w:t>1179-1190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10" w:type="dxa"/>
          </w:tcPr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Applications of conductivity measurements :determination of degree of dissociation ,</w:t>
            </w:r>
          </w:p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determination of ka of acids , determination of solubility product of a sparingly soluble</w:t>
            </w:r>
          </w:p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salt, </w:t>
            </w:r>
            <w:proofErr w:type="spellStart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conductometric</w:t>
            </w:r>
            <w:proofErr w:type="spellEnd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 titrations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E49">
              <w:rPr>
                <w:rFonts w:ascii="Times New Roman" w:hAnsi="Times New Roman" w:cs="Times New Roman"/>
              </w:rPr>
              <w:t>4</w:t>
            </w:r>
          </w:p>
          <w:p w:rsidR="00B51FF2" w:rsidRDefault="00B51FF2" w:rsidP="00B51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51FF2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898-901</w:t>
            </w:r>
          </w:p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1629C">
              <w:rPr>
                <w:rFonts w:ascii="Times New Roman" w:hAnsi="Times New Roman" w:cs="Times New Roman"/>
                <w:sz w:val="16"/>
                <w:szCs w:val="20"/>
              </w:rPr>
              <w:t>1118-1120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Defini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 xml:space="preserve">tion of space lattice 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Cs w:val="20"/>
              </w:rPr>
              <w:t>447-453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U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nit cell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</w:pPr>
            <w:r w:rsidRPr="00F60DEB">
              <w:t>4</w:t>
            </w:r>
          </w:p>
        </w:tc>
        <w:tc>
          <w:tcPr>
            <w:tcW w:w="1080" w:type="dxa"/>
          </w:tcPr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Cs w:val="20"/>
              </w:rPr>
              <w:t>452-456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0" w:type="dxa"/>
          </w:tcPr>
          <w:p w:rsidR="00B51FF2" w:rsidRPr="000973F1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Laws of crystallography –(</w:t>
            </w:r>
            <w:proofErr w:type="spellStart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i</w:t>
            </w:r>
            <w:proofErr w:type="spellEnd"/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) law of constancy of interfacial angels</w:t>
            </w:r>
          </w:p>
          <w:p w:rsidR="00B51FF2" w:rsidRPr="008D0D3A" w:rsidRDefault="00B51FF2" w:rsidP="00B51FF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(ii) law of rationality of indices (iii) law of symmetry elements in crystals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</w:pPr>
            <w:r w:rsidRPr="00F60DEB">
              <w:t>4</w:t>
            </w:r>
          </w:p>
        </w:tc>
        <w:tc>
          <w:tcPr>
            <w:tcW w:w="1080" w:type="dxa"/>
          </w:tcPr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Cs w:val="20"/>
              </w:rPr>
              <w:t>449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X-ray diffraction by crystals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</w:pPr>
            <w:r w:rsidRPr="00F60DEB">
              <w:t>4</w:t>
            </w:r>
          </w:p>
        </w:tc>
        <w:tc>
          <w:tcPr>
            <w:tcW w:w="1080" w:type="dxa"/>
          </w:tcPr>
          <w:p w:rsidR="00B51FF2" w:rsidRPr="00DC4C05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C4C05">
              <w:rPr>
                <w:rFonts w:ascii="Times New Roman" w:hAnsi="Times New Roman" w:cs="Times New Roman"/>
                <w:szCs w:val="20"/>
              </w:rPr>
              <w:t>456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0" w:type="dxa"/>
          </w:tcPr>
          <w:p w:rsidR="00B51FF2" w:rsidRPr="008D0D3A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D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erivation of Bragg equation</w:t>
            </w:r>
          </w:p>
        </w:tc>
        <w:tc>
          <w:tcPr>
            <w:tcW w:w="1260" w:type="dxa"/>
          </w:tcPr>
          <w:p w:rsidR="00B51FF2" w:rsidRDefault="00B51FF2" w:rsidP="00B51FF2">
            <w:pPr>
              <w:spacing w:after="0" w:line="240" w:lineRule="auto"/>
              <w:jc w:val="center"/>
            </w:pPr>
            <w:r w:rsidRPr="00F60DEB">
              <w:t>4</w:t>
            </w:r>
          </w:p>
        </w:tc>
        <w:tc>
          <w:tcPr>
            <w:tcW w:w="1080" w:type="dxa"/>
          </w:tcPr>
          <w:p w:rsidR="00B51FF2" w:rsidRPr="00DC4C05" w:rsidRDefault="00B51FF2" w:rsidP="00B51FF2">
            <w:pPr>
              <w:pStyle w:val="Subtitle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0"/>
              </w:rPr>
            </w:pPr>
            <w:r w:rsidRPr="0079629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456-46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</w:tr>
      <w:tr w:rsidR="00B51FF2" w:rsidRPr="004057BE" w:rsidTr="00B51FF2">
        <w:tc>
          <w:tcPr>
            <w:tcW w:w="990" w:type="dxa"/>
          </w:tcPr>
          <w:p w:rsidR="00B51FF2" w:rsidRPr="004057BE" w:rsidRDefault="00B51FF2" w:rsidP="00B51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10" w:type="dxa"/>
          </w:tcPr>
          <w:p w:rsidR="00B51FF2" w:rsidRDefault="00B51FF2" w:rsidP="00B5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3"/>
              </w:rPr>
            </w:pP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Determination of crystal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 </w:t>
            </w:r>
            <w:r w:rsidRPr="000973F1">
              <w:rPr>
                <w:rFonts w:ascii="Times New Roman" w:hAnsi="Times New Roman" w:cs="Times New Roman"/>
                <w:sz w:val="32"/>
                <w:szCs w:val="23"/>
              </w:rPr>
              <w:t>structure of NaCl</w:t>
            </w:r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3"/>
              </w:rPr>
              <w:t>CsCl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3"/>
              </w:rPr>
              <w:t>KCl</w:t>
            </w:r>
            <w:proofErr w:type="spellEnd"/>
          </w:p>
        </w:tc>
        <w:tc>
          <w:tcPr>
            <w:tcW w:w="1260" w:type="dxa"/>
          </w:tcPr>
          <w:p w:rsidR="00B51FF2" w:rsidRPr="00F60DEB" w:rsidRDefault="00B51FF2" w:rsidP="00B51F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51FF2" w:rsidRPr="00796291" w:rsidRDefault="00B51FF2" w:rsidP="00B51FF2">
            <w:pPr>
              <w:pStyle w:val="Subtitle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461-464</w:t>
            </w:r>
          </w:p>
        </w:tc>
      </w:tr>
    </w:tbl>
    <w:p w:rsidR="009B6ECA" w:rsidRDefault="009B6ECA" w:rsidP="009B6ECA">
      <w:pPr>
        <w:jc w:val="both"/>
        <w:rPr>
          <w:rFonts w:ascii="Times New Roman" w:hAnsi="Times New Roman"/>
        </w:rPr>
      </w:pPr>
    </w:p>
    <w:p w:rsidR="003D5A48" w:rsidRDefault="003D5A48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3D5A48" w:rsidRDefault="003D5A48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3D5A48" w:rsidRDefault="003D5A48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3D5A48" w:rsidRDefault="003D5A48" w:rsidP="009B6ECA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6657A3" w:rsidRDefault="006657A3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C05B1" w:rsidRPr="00712996" w:rsidRDefault="00712996" w:rsidP="00FD1921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lastRenderedPageBreak/>
        <w:t>COURSE OBJECTIVE, INDICATIVE CONTENT AND LEARNING OUTCOMES</w:t>
      </w:r>
    </w:p>
    <w:p w:rsidR="00C95730" w:rsidRDefault="00304B8D" w:rsidP="00FD1921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04B8D">
        <w:rPr>
          <w:rFonts w:ascii="Times New Roman" w:hAnsi="Times New Roman"/>
          <w:b/>
          <w:color w:val="002060"/>
          <w:sz w:val="24"/>
          <w:szCs w:val="24"/>
        </w:rPr>
        <w:t>OBJECTIVE: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95730" w:rsidRDefault="002538A2" w:rsidP="00FD1921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>The main objective</w:t>
      </w:r>
      <w:r w:rsidR="00C95730">
        <w:rPr>
          <w:rFonts w:ascii="Times New Roman" w:hAnsi="Times New Roman"/>
          <w:color w:val="002060"/>
          <w:sz w:val="24"/>
          <w:szCs w:val="24"/>
        </w:rPr>
        <w:t>s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of this course is to study </w:t>
      </w:r>
    </w:p>
    <w:p w:rsidR="00C95730" w:rsidRPr="00C95730" w:rsidRDefault="00C95730" w:rsidP="00C9573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color w:val="002060"/>
        </w:rPr>
      </w:pPr>
      <w:r>
        <w:rPr>
          <w:color w:val="002060"/>
        </w:rPr>
        <w:t>Electrolytic</w:t>
      </w:r>
      <w:r w:rsidRPr="00C95730">
        <w:rPr>
          <w:color w:val="002060"/>
        </w:rPr>
        <w:t xml:space="preserve">  conductance, its </w:t>
      </w:r>
      <w:r>
        <w:rPr>
          <w:color w:val="002060"/>
        </w:rPr>
        <w:t>variation</w:t>
      </w:r>
      <w:r w:rsidRPr="00C95730">
        <w:rPr>
          <w:color w:val="002060"/>
        </w:rPr>
        <w:t xml:space="preserve"> and applications</w:t>
      </w:r>
    </w:p>
    <w:p w:rsidR="00C95730" w:rsidRPr="00C95730" w:rsidRDefault="00C95730" w:rsidP="00C9573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color w:val="002060"/>
        </w:rPr>
      </w:pPr>
      <w:r>
        <w:rPr>
          <w:color w:val="002060"/>
        </w:rPr>
        <w:t>Solid state chemistry, X-ray diffraction, principles and applications</w:t>
      </w:r>
    </w:p>
    <w:p w:rsidR="0063216B" w:rsidRDefault="00C95730" w:rsidP="00C9573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color w:val="002060"/>
        </w:rPr>
      </w:pPr>
      <w:r>
        <w:rPr>
          <w:color w:val="002060"/>
        </w:rPr>
        <w:t>C</w:t>
      </w:r>
      <w:r w:rsidR="002538A2" w:rsidRPr="00C95730">
        <w:rPr>
          <w:color w:val="002060"/>
        </w:rPr>
        <w:t xml:space="preserve">hemistry of </w:t>
      </w:r>
      <w:r w:rsidRPr="00C95730">
        <w:rPr>
          <w:color w:val="002060"/>
        </w:rPr>
        <w:t>colloids</w:t>
      </w:r>
      <w:r w:rsidR="002538A2" w:rsidRPr="00C95730">
        <w:rPr>
          <w:color w:val="002060"/>
        </w:rPr>
        <w:t xml:space="preserve">, </w:t>
      </w:r>
      <w:r w:rsidR="006701F0" w:rsidRPr="00C95730">
        <w:rPr>
          <w:color w:val="002060"/>
        </w:rPr>
        <w:t xml:space="preserve">their </w:t>
      </w:r>
      <w:r w:rsidR="002538A2" w:rsidRPr="00C95730">
        <w:rPr>
          <w:color w:val="002060"/>
        </w:rPr>
        <w:t>properties</w:t>
      </w:r>
      <w:r>
        <w:rPr>
          <w:color w:val="002060"/>
        </w:rPr>
        <w:t xml:space="preserve"> </w:t>
      </w:r>
      <w:r w:rsidRPr="00C95730">
        <w:rPr>
          <w:color w:val="002060"/>
        </w:rPr>
        <w:t>and use</w:t>
      </w:r>
      <w:r>
        <w:rPr>
          <w:color w:val="002060"/>
        </w:rPr>
        <w:t>s</w:t>
      </w:r>
    </w:p>
    <w:p w:rsidR="00C95730" w:rsidRDefault="00C95730" w:rsidP="00FD1921">
      <w:pPr>
        <w:spacing w:line="36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C95730" w:rsidRDefault="00304B8D" w:rsidP="00FD1921">
      <w:pPr>
        <w:spacing w:line="36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304B8D">
        <w:rPr>
          <w:rFonts w:ascii="Times New Roman" w:hAnsi="Times New Roman"/>
          <w:b/>
          <w:bCs/>
          <w:color w:val="002060"/>
          <w:sz w:val="24"/>
          <w:szCs w:val="24"/>
        </w:rPr>
        <w:t>INDICATIVE CONTENT: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C95730" w:rsidRDefault="00C95730" w:rsidP="00FD1921">
      <w:pPr>
        <w:spacing w:line="36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The first topic ‘Electrochemistry’ deals with </w:t>
      </w:r>
      <w:r w:rsidR="00176DDB">
        <w:rPr>
          <w:rFonts w:ascii="Times New Roman" w:hAnsi="Times New Roman"/>
          <w:bCs/>
          <w:color w:val="002060"/>
          <w:sz w:val="24"/>
          <w:szCs w:val="24"/>
        </w:rPr>
        <w:t>electrolytic conductance, its variation with dilution and theories of electrolytic dissociation. The applications of conductivity measurements form an integral part of this topic.</w:t>
      </w:r>
    </w:p>
    <w:p w:rsidR="00E06EAF" w:rsidRDefault="00176DDB" w:rsidP="00176DDB">
      <w:pPr>
        <w:spacing w:line="36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The second topic ‘Solid State’ deals composition of unit cell, space lattice and laws of crystallography. X ray diffraction method of </w:t>
      </w:r>
      <w:proofErr w:type="spellStart"/>
      <w:r>
        <w:rPr>
          <w:rFonts w:ascii="Times New Roman" w:hAnsi="Times New Roman"/>
          <w:bCs/>
          <w:color w:val="002060"/>
          <w:sz w:val="24"/>
          <w:szCs w:val="24"/>
        </w:rPr>
        <w:t>characterisation</w:t>
      </w:r>
      <w:proofErr w:type="spellEnd"/>
      <w:r>
        <w:rPr>
          <w:rFonts w:ascii="Times New Roman" w:hAnsi="Times New Roman"/>
          <w:bCs/>
          <w:color w:val="002060"/>
          <w:sz w:val="24"/>
          <w:szCs w:val="24"/>
        </w:rPr>
        <w:t xml:space="preserve"> of materials is also covered in this topic. </w:t>
      </w:r>
    </w:p>
    <w:p w:rsidR="00176DDB" w:rsidRDefault="00E06EAF" w:rsidP="00176DDB">
      <w:pPr>
        <w:spacing w:line="36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>The third</w:t>
      </w:r>
      <w:r w:rsidR="00176DDB">
        <w:rPr>
          <w:rFonts w:ascii="Times New Roman" w:hAnsi="Times New Roman"/>
          <w:bCs/>
          <w:color w:val="002060"/>
          <w:sz w:val="24"/>
          <w:szCs w:val="24"/>
        </w:rPr>
        <w:t xml:space="preserve"> topic ‘Colloidal State’ deals with substances in particle size range of 1-100 nm. The topic covers classification, properties and applications of </w:t>
      </w:r>
      <w:proofErr w:type="spellStart"/>
      <w:r w:rsidR="00176DDB">
        <w:rPr>
          <w:rFonts w:ascii="Times New Roman" w:hAnsi="Times New Roman"/>
          <w:bCs/>
          <w:color w:val="002060"/>
          <w:sz w:val="24"/>
          <w:szCs w:val="24"/>
        </w:rPr>
        <w:t>colliods</w:t>
      </w:r>
      <w:proofErr w:type="spellEnd"/>
      <w:r w:rsidR="00176DDB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9D5CDB" w:rsidRDefault="001E56D8" w:rsidP="00FD1921">
      <w:pPr>
        <w:spacing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LEARNING OUTCOMES</w:t>
      </w:r>
      <w:r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9D5CDB" w:rsidRDefault="009D5CDB" w:rsidP="00FD1921">
      <w:pPr>
        <w:spacing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Upon completion of Course students will be able to</w:t>
      </w:r>
    </w:p>
    <w:p w:rsidR="00C40C46" w:rsidRDefault="00C40C46" w:rsidP="009D5CDB">
      <w:pPr>
        <w:spacing w:line="360" w:lineRule="auto"/>
        <w:ind w:left="270" w:hanging="27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9D5CDB">
        <w:rPr>
          <w:rFonts w:ascii="Times New Roman" w:hAnsi="Times New Roman"/>
          <w:color w:val="002060"/>
          <w:sz w:val="24"/>
          <w:szCs w:val="24"/>
        </w:rPr>
        <w:t>Understand electrolytic dissociation, composition of materials in solid state and properties and applications of colloids</w:t>
      </w:r>
    </w:p>
    <w:p w:rsidR="00304B8D" w:rsidRDefault="00C40C46" w:rsidP="00FD1921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9D5CDB">
        <w:rPr>
          <w:rFonts w:ascii="Times New Roman" w:hAnsi="Times New Roman"/>
          <w:color w:val="002060"/>
          <w:sz w:val="24"/>
          <w:szCs w:val="24"/>
        </w:rPr>
        <w:t xml:space="preserve">Draw </w:t>
      </w:r>
      <w:proofErr w:type="spellStart"/>
      <w:r w:rsidR="009D5CDB">
        <w:rPr>
          <w:rFonts w:ascii="Times New Roman" w:hAnsi="Times New Roman"/>
          <w:color w:val="002060"/>
          <w:sz w:val="24"/>
          <w:szCs w:val="24"/>
        </w:rPr>
        <w:t>conductometric</w:t>
      </w:r>
      <w:proofErr w:type="spellEnd"/>
      <w:r w:rsidR="009D5CDB">
        <w:rPr>
          <w:rFonts w:ascii="Times New Roman" w:hAnsi="Times New Roman"/>
          <w:color w:val="002060"/>
          <w:sz w:val="24"/>
          <w:szCs w:val="24"/>
        </w:rPr>
        <w:t xml:space="preserve"> titration graphs</w:t>
      </w:r>
    </w:p>
    <w:p w:rsidR="009D5CDB" w:rsidRPr="00712996" w:rsidRDefault="009D5CDB" w:rsidP="00FD1921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3. Interpret X ray diffraction patterns</w:t>
      </w:r>
    </w:p>
    <w:p w:rsidR="00832851" w:rsidRPr="00712996" w:rsidRDefault="00832851" w:rsidP="00FD1921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sectPr w:rsidR="00832851" w:rsidRPr="00712996" w:rsidSect="009A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BFB"/>
    <w:multiLevelType w:val="hybridMultilevel"/>
    <w:tmpl w:val="46CC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AD4"/>
    <w:multiLevelType w:val="hybridMultilevel"/>
    <w:tmpl w:val="C67C0638"/>
    <w:lvl w:ilvl="0" w:tplc="CC7C3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40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0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E2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3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851"/>
    <w:rsid w:val="00026D1B"/>
    <w:rsid w:val="0005530C"/>
    <w:rsid w:val="00093146"/>
    <w:rsid w:val="000A64A7"/>
    <w:rsid w:val="00125B94"/>
    <w:rsid w:val="00176DDB"/>
    <w:rsid w:val="00196608"/>
    <w:rsid w:val="001E56D8"/>
    <w:rsid w:val="002538A2"/>
    <w:rsid w:val="002A1135"/>
    <w:rsid w:val="00304B8D"/>
    <w:rsid w:val="003317DE"/>
    <w:rsid w:val="00356130"/>
    <w:rsid w:val="003D5A48"/>
    <w:rsid w:val="003F064F"/>
    <w:rsid w:val="00402C83"/>
    <w:rsid w:val="00477A46"/>
    <w:rsid w:val="004A55B6"/>
    <w:rsid w:val="005709CC"/>
    <w:rsid w:val="00621B5C"/>
    <w:rsid w:val="00622ADC"/>
    <w:rsid w:val="0063216B"/>
    <w:rsid w:val="006657A3"/>
    <w:rsid w:val="006701F0"/>
    <w:rsid w:val="006F0D9F"/>
    <w:rsid w:val="00712996"/>
    <w:rsid w:val="00770E42"/>
    <w:rsid w:val="00796291"/>
    <w:rsid w:val="00823E2C"/>
    <w:rsid w:val="00832851"/>
    <w:rsid w:val="00876E47"/>
    <w:rsid w:val="0091036F"/>
    <w:rsid w:val="009A695D"/>
    <w:rsid w:val="009B6ECA"/>
    <w:rsid w:val="009D5CDB"/>
    <w:rsid w:val="00A45485"/>
    <w:rsid w:val="00A60A65"/>
    <w:rsid w:val="00A85958"/>
    <w:rsid w:val="00AE127C"/>
    <w:rsid w:val="00AE7178"/>
    <w:rsid w:val="00AF1916"/>
    <w:rsid w:val="00B44FFE"/>
    <w:rsid w:val="00B51FF2"/>
    <w:rsid w:val="00B75244"/>
    <w:rsid w:val="00BE42D7"/>
    <w:rsid w:val="00C40C46"/>
    <w:rsid w:val="00C95730"/>
    <w:rsid w:val="00CF25C9"/>
    <w:rsid w:val="00D63C94"/>
    <w:rsid w:val="00D81E75"/>
    <w:rsid w:val="00DB0CE3"/>
    <w:rsid w:val="00E06EAF"/>
    <w:rsid w:val="00EF0112"/>
    <w:rsid w:val="00FC05B1"/>
    <w:rsid w:val="00FD1921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6E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B6E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</dc:creator>
  <cp:lastModifiedBy>user</cp:lastModifiedBy>
  <cp:revision>2</cp:revision>
  <dcterms:created xsi:type="dcterms:W3CDTF">2018-09-03T05:24:00Z</dcterms:created>
  <dcterms:modified xsi:type="dcterms:W3CDTF">2018-09-03T05:24:00Z</dcterms:modified>
</cp:coreProperties>
</file>